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313DE" w14:textId="77777777" w:rsidR="007675B0" w:rsidRPr="009E76C9" w:rsidRDefault="005C4AAF">
      <w:pPr>
        <w:pStyle w:val="Heading1"/>
        <w:rPr>
          <w:lang w:val="mk-MK"/>
        </w:rPr>
      </w:pPr>
      <w:bookmarkStart w:id="0" w:name="_Toc50130863"/>
      <w:bookmarkStart w:id="1" w:name="_Toc50130870"/>
      <w:r w:rsidRPr="009E76C9">
        <w:rPr>
          <w:lang w:val="mk-MK"/>
        </w:rPr>
        <w:t>Формулар за поднесување коментари</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7675B0" w14:paraId="249C1DD8" w14:textId="77777777">
        <w:trPr>
          <w:trHeight w:val="2717"/>
          <w:jc w:val="center"/>
        </w:trPr>
        <w:tc>
          <w:tcPr>
            <w:tcW w:w="9017" w:type="dxa"/>
            <w:gridSpan w:val="3"/>
            <w:shd w:val="clear" w:color="auto" w:fill="FFFFFF" w:themeFill="background1"/>
          </w:tcPr>
          <w:p w14:paraId="01ED1ADA" w14:textId="77777777" w:rsidR="008A2688" w:rsidRDefault="008A2688" w:rsidP="008A2688">
            <w:pPr>
              <w:spacing w:after="0"/>
              <w:jc w:val="center"/>
              <w:rPr>
                <w:rFonts w:eastAsia="Calibri" w:cstheme="minorHAnsi"/>
                <w:b/>
                <w:sz w:val="18"/>
                <w:szCs w:val="18"/>
                <w:lang w:val="mk-MK"/>
              </w:rPr>
            </w:pPr>
            <w:r w:rsidRPr="008A2688">
              <w:rPr>
                <w:rFonts w:eastAsia="Calibri" w:cstheme="minorHAnsi"/>
                <w:b/>
                <w:sz w:val="18"/>
                <w:szCs w:val="18"/>
                <w:lang w:val="mk-MK"/>
              </w:rPr>
              <w:t>Формулар за доставување коментари и предлози за Контролната листа на ПУЖССА за Реконструкција на крстосницата помеѓу локалните улици „5ти Конгрес,“ и „Браќа Даневи“ , “Солидарност “во Oпштина Штип</w:t>
            </w:r>
          </w:p>
          <w:p w14:paraId="0C79A1C3" w14:textId="7CFFF1D3" w:rsidR="00D06150" w:rsidRPr="00D06150" w:rsidRDefault="00D06150" w:rsidP="008A2688">
            <w:pPr>
              <w:spacing w:after="0"/>
              <w:rPr>
                <w:rFonts w:eastAsia="Calibri" w:cstheme="minorHAnsi"/>
                <w:b/>
                <w:sz w:val="18"/>
                <w:szCs w:val="18"/>
                <w:lang w:val="mk-MK"/>
              </w:rPr>
            </w:pPr>
            <w:r w:rsidRPr="00D06150">
              <w:rPr>
                <w:rFonts w:eastAsia="Calibri" w:cstheme="minorHAnsi"/>
                <w:b/>
                <w:sz w:val="18"/>
                <w:szCs w:val="18"/>
                <w:lang w:val="mk-MK"/>
              </w:rPr>
              <w:t>Опис на проектот</w:t>
            </w:r>
          </w:p>
          <w:p w14:paraId="0183276B" w14:textId="77777777" w:rsidR="008A2688" w:rsidRPr="008A2688" w:rsidRDefault="008A2688" w:rsidP="008A2688">
            <w:pPr>
              <w:spacing w:after="0"/>
              <w:jc w:val="both"/>
              <w:rPr>
                <w:rFonts w:eastAsia="Calibri" w:cstheme="minorHAnsi"/>
                <w:bCs/>
                <w:sz w:val="18"/>
                <w:szCs w:val="18"/>
                <w:lang w:val="mk-MK"/>
              </w:rPr>
            </w:pPr>
            <w:r w:rsidRPr="008A2688">
              <w:rPr>
                <w:rFonts w:eastAsia="Calibri" w:cstheme="minorHAnsi"/>
                <w:b/>
                <w:sz w:val="18"/>
                <w:szCs w:val="18"/>
                <w:lang w:val="mk-MK"/>
              </w:rPr>
              <w:t xml:space="preserve">Реконструкција на улицата „5-ти Конгрес“ </w:t>
            </w:r>
            <w:r w:rsidRPr="008A2688">
              <w:rPr>
                <w:rFonts w:eastAsia="Calibri" w:cstheme="minorHAnsi"/>
                <w:bCs/>
                <w:sz w:val="18"/>
                <w:szCs w:val="18"/>
                <w:lang w:val="mk-MK"/>
              </w:rPr>
              <w:t>- 407,17 м - Постоечката улица е направена од коцки и со променлива ширина од околу 6,0 м и се наоѓа во населено место. Објекти има од двете страни на улицата. Нема станбени згради долж трасата, локалното население кое живее во близина на предметната активност се околу 950 жители кои ја користат улицата.</w:t>
            </w:r>
          </w:p>
          <w:p w14:paraId="1F8BF822" w14:textId="77777777" w:rsidR="008A2688" w:rsidRPr="008A2688" w:rsidRDefault="008A2688" w:rsidP="008A2688">
            <w:pPr>
              <w:spacing w:after="0"/>
              <w:jc w:val="both"/>
              <w:rPr>
                <w:rFonts w:eastAsia="Calibri" w:cstheme="minorHAnsi"/>
                <w:bCs/>
                <w:sz w:val="18"/>
                <w:szCs w:val="18"/>
                <w:lang w:val="mk-MK"/>
              </w:rPr>
            </w:pPr>
            <w:r w:rsidRPr="008A2688">
              <w:rPr>
                <w:rFonts w:eastAsia="Calibri" w:cstheme="minorHAnsi"/>
                <w:b/>
                <w:sz w:val="18"/>
                <w:szCs w:val="18"/>
                <w:lang w:val="mk-MK"/>
              </w:rPr>
              <w:t>Реконструкција на улицата „Браќа Даневи“</w:t>
            </w:r>
            <w:r w:rsidRPr="008A2688">
              <w:rPr>
                <w:rFonts w:eastAsia="Calibri" w:cstheme="minorHAnsi"/>
                <w:bCs/>
                <w:sz w:val="18"/>
                <w:szCs w:val="18"/>
                <w:lang w:val="mk-MK"/>
              </w:rPr>
              <w:t xml:space="preserve"> -359,44 м. Постојната улица е направена од коцка со променлива ширина од околу 6,0-8,80 м. и се наоѓа во населено место. Објекти има од двете страни на улицата. Постојат наизменични екстензии на улицата. Исто така, има место за паркирање од левата страна на улицата.</w:t>
            </w:r>
          </w:p>
          <w:p w14:paraId="57BAF609" w14:textId="77777777" w:rsidR="008A2688" w:rsidRPr="008A2688" w:rsidRDefault="008A2688" w:rsidP="008A2688">
            <w:pPr>
              <w:spacing w:after="0"/>
              <w:jc w:val="both"/>
              <w:rPr>
                <w:rFonts w:eastAsia="Calibri" w:cstheme="minorHAnsi"/>
                <w:bCs/>
                <w:sz w:val="18"/>
                <w:szCs w:val="18"/>
                <w:lang w:val="mk-MK"/>
              </w:rPr>
            </w:pPr>
            <w:r w:rsidRPr="008A2688">
              <w:rPr>
                <w:rFonts w:eastAsia="Calibri" w:cstheme="minorHAnsi"/>
                <w:b/>
                <w:sz w:val="18"/>
                <w:szCs w:val="18"/>
                <w:lang w:val="mk-MK"/>
              </w:rPr>
              <w:t>Реконструкција на улицата „Солидарност“</w:t>
            </w:r>
            <w:r w:rsidRPr="008A2688">
              <w:rPr>
                <w:rFonts w:eastAsia="Calibri" w:cstheme="minorHAnsi"/>
                <w:bCs/>
                <w:sz w:val="18"/>
                <w:szCs w:val="18"/>
                <w:lang w:val="mk-MK"/>
              </w:rPr>
              <w:t xml:space="preserve"> - 468,05 м. Постојната улица е направена од коцка со променлива ширина од околу 6,0-6,5 м и се наоѓа во населено место. Објекти има од двете страни на улицата. Од левата страна има канал кој е покриен во најголем дел, а во некои делови е откриен. На десната страна има постоечки тротоар кој се планира да се замени. По должината на трасата нема станбени згради, локалното население кое живее во близина на предметната активност се околу 1.000 жители кои ја користат улицата. По должината на трасата нема поголеми и позначајни деловни згради.</w:t>
            </w:r>
          </w:p>
          <w:p w14:paraId="3A7D99C3" w14:textId="77777777" w:rsidR="008A2688" w:rsidRPr="008A2688" w:rsidRDefault="008A2688" w:rsidP="008A2688">
            <w:pPr>
              <w:spacing w:after="0"/>
              <w:jc w:val="both"/>
              <w:rPr>
                <w:rFonts w:eastAsia="Calibri" w:cstheme="minorHAnsi"/>
                <w:bCs/>
                <w:sz w:val="18"/>
                <w:szCs w:val="18"/>
                <w:lang w:val="mk-MK"/>
              </w:rPr>
            </w:pPr>
            <w:r w:rsidRPr="008A2688">
              <w:rPr>
                <w:rFonts w:eastAsia="Calibri" w:cstheme="minorHAnsi"/>
                <w:bCs/>
                <w:sz w:val="18"/>
                <w:szCs w:val="18"/>
                <w:lang w:val="mk-MK"/>
              </w:rPr>
              <w:t>Главните активности на планираниот проект ќе бидат извлекување коцка со товарење и транспорт до депонијата; рушење на постојниот бетон заедно со рабници и товарење и транспорт до депонијата; машинско ископување на земјиште со товарење и транспорт до депонијата; изградба на насип; обложување на стариот асфалт со нов; вчитување и транспорт до депонија, дренажа со ПВЦ цевка.</w:t>
            </w:r>
          </w:p>
          <w:p w14:paraId="61E353BE" w14:textId="77777777" w:rsidR="00D06150" w:rsidRPr="00D06150" w:rsidRDefault="00D06150" w:rsidP="00D06150">
            <w:pPr>
              <w:spacing w:after="0"/>
              <w:rPr>
                <w:rFonts w:eastAsia="Calibri" w:cstheme="minorHAnsi"/>
                <w:b/>
                <w:sz w:val="18"/>
                <w:szCs w:val="18"/>
                <w:lang w:val="mk-MK"/>
              </w:rPr>
            </w:pPr>
          </w:p>
          <w:p w14:paraId="7382296F" w14:textId="3528B3EE" w:rsidR="00D06150" w:rsidRDefault="00D06150" w:rsidP="00D06150">
            <w:pPr>
              <w:spacing w:after="0" w:line="276" w:lineRule="auto"/>
              <w:contextualSpacing/>
              <w:jc w:val="both"/>
              <w:rPr>
                <w:rFonts w:eastAsia="Calibri" w:cstheme="minorHAnsi"/>
                <w:b/>
                <w:sz w:val="18"/>
                <w:szCs w:val="18"/>
                <w:lang w:val="mk-MK"/>
              </w:rPr>
            </w:pPr>
            <w:r w:rsidRPr="00D06150">
              <w:rPr>
                <w:rFonts w:eastAsia="Calibri" w:cstheme="minorHAnsi"/>
                <w:b/>
                <w:sz w:val="18"/>
                <w:szCs w:val="18"/>
                <w:lang w:val="mk-MK"/>
              </w:rPr>
              <w:t xml:space="preserve">Електронската верзија на </w:t>
            </w:r>
            <w:r w:rsidR="008A2688" w:rsidRPr="008A2688">
              <w:rPr>
                <w:rFonts w:eastAsia="Calibri" w:cstheme="minorHAnsi"/>
                <w:b/>
                <w:sz w:val="18"/>
                <w:szCs w:val="18"/>
                <w:lang w:val="mk-MK"/>
              </w:rPr>
              <w:t>Контролната листа на ПУЖССА за Реконструкција на крстосницата помеѓу локалните улици „5ти Конгрес,“ и „Браќа Даневи“ , “Солидарност “во Oпштина Штип</w:t>
            </w:r>
            <w:r w:rsidR="008A2688" w:rsidRPr="008A2688">
              <w:rPr>
                <w:rFonts w:eastAsia="Calibri" w:cstheme="minorHAnsi"/>
                <w:b/>
                <w:sz w:val="18"/>
                <w:szCs w:val="18"/>
                <w:lang w:val="mk-MK"/>
              </w:rPr>
              <w:t xml:space="preserve"> </w:t>
            </w:r>
            <w:r w:rsidRPr="00D06150">
              <w:rPr>
                <w:rFonts w:eastAsia="Calibri" w:cstheme="minorHAnsi"/>
                <w:b/>
                <w:sz w:val="18"/>
                <w:szCs w:val="18"/>
                <w:lang w:val="mk-MK"/>
              </w:rPr>
              <w:t>е достапна на следниве веб-страни:</w:t>
            </w:r>
          </w:p>
          <w:p w14:paraId="6850416E" w14:textId="1B6E2A6B" w:rsidR="00D06150" w:rsidRPr="008A2688" w:rsidRDefault="00D06150" w:rsidP="00D06150">
            <w:pPr>
              <w:spacing w:after="0" w:line="276" w:lineRule="auto"/>
              <w:contextualSpacing/>
              <w:jc w:val="both"/>
              <w:rPr>
                <w:rFonts w:eastAsia="Calibri" w:cstheme="minorHAnsi"/>
                <w:sz w:val="18"/>
                <w:szCs w:val="18"/>
              </w:rPr>
            </w:pPr>
            <w:r w:rsidRPr="00D06150">
              <w:rPr>
                <w:rFonts w:eastAsia="Calibri" w:cstheme="minorHAnsi"/>
                <w:sz w:val="18"/>
                <w:szCs w:val="18"/>
                <w:lang w:val="mk-MK"/>
              </w:rPr>
              <w:t xml:space="preserve">Општина Карбинци: </w:t>
            </w:r>
            <w:r w:rsidR="008A2688">
              <w:rPr>
                <w:rFonts w:eastAsia="Calibri" w:cstheme="minorHAnsi"/>
                <w:sz w:val="18"/>
                <w:szCs w:val="18"/>
              </w:rPr>
              <w:fldChar w:fldCharType="begin"/>
            </w:r>
            <w:r w:rsidR="008A2688">
              <w:rPr>
                <w:rFonts w:eastAsia="Calibri" w:cstheme="minorHAnsi"/>
                <w:sz w:val="18"/>
                <w:szCs w:val="18"/>
              </w:rPr>
              <w:instrText xml:space="preserve"> HYPERLINK "http://stip.gov.mk/" </w:instrText>
            </w:r>
            <w:r w:rsidR="008A2688">
              <w:rPr>
                <w:rFonts w:eastAsia="Calibri" w:cstheme="minorHAnsi"/>
                <w:sz w:val="18"/>
                <w:szCs w:val="18"/>
              </w:rPr>
              <w:fldChar w:fldCharType="separate"/>
            </w:r>
            <w:r w:rsidR="008A2688" w:rsidRPr="00512D2D">
              <w:rPr>
                <w:rStyle w:val="Hyperlink"/>
                <w:rFonts w:eastAsia="Calibri" w:cstheme="minorHAnsi"/>
                <w:sz w:val="18"/>
                <w:szCs w:val="18"/>
              </w:rPr>
              <w:t>http://stip.gov.mk/</w:t>
            </w:r>
            <w:r w:rsidR="008A2688">
              <w:rPr>
                <w:rFonts w:eastAsia="Calibri" w:cstheme="minorHAnsi"/>
                <w:sz w:val="18"/>
                <w:szCs w:val="18"/>
              </w:rPr>
              <w:fldChar w:fldCharType="end"/>
            </w:r>
            <w:r w:rsidR="008A2688">
              <w:rPr>
                <w:rFonts w:eastAsia="Calibri" w:cstheme="minorHAnsi"/>
                <w:sz w:val="18"/>
                <w:szCs w:val="18"/>
              </w:rPr>
              <w:t xml:space="preserve"> </w:t>
            </w:r>
          </w:p>
          <w:p w14:paraId="02B7BEEB" w14:textId="3FEFA9C2" w:rsidR="007675B0" w:rsidRDefault="005C4AAF" w:rsidP="00D06150">
            <w:pPr>
              <w:spacing w:after="0" w:line="276" w:lineRule="auto"/>
              <w:contextualSpacing/>
              <w:jc w:val="both"/>
              <w:rPr>
                <w:rFonts w:eastAsia="Calibri" w:cstheme="minorHAnsi"/>
                <w:sz w:val="18"/>
                <w:szCs w:val="18"/>
              </w:rPr>
            </w:pPr>
            <w:r>
              <w:rPr>
                <w:rFonts w:eastAsia="Calibri" w:cstheme="minorHAnsi"/>
                <w:sz w:val="18"/>
                <w:szCs w:val="18"/>
              </w:rPr>
              <w:t>МТВ</w:t>
            </w:r>
            <w:r>
              <w:rPr>
                <w:rFonts w:eastAsia="Calibri" w:cstheme="minorHAnsi"/>
                <w:sz w:val="18"/>
                <w:szCs w:val="18"/>
                <w:lang w:val="mk-MK"/>
              </w:rPr>
              <w:t xml:space="preserve"> Е</w:t>
            </w:r>
            <w:r w:rsidR="00D06150">
              <w:rPr>
                <w:rFonts w:eastAsia="Calibri" w:cstheme="minorHAnsi"/>
                <w:sz w:val="18"/>
                <w:szCs w:val="18"/>
              </w:rPr>
              <w:t>И</w:t>
            </w:r>
            <w:r>
              <w:rPr>
                <w:rFonts w:eastAsia="Calibri" w:cstheme="minorHAnsi"/>
                <w:sz w:val="18"/>
                <w:szCs w:val="18"/>
                <w:lang w:val="mk-MK"/>
              </w:rPr>
              <w:t>П</w:t>
            </w:r>
            <w:r>
              <w:rPr>
                <w:rFonts w:eastAsia="Calibri" w:cstheme="minorHAnsi"/>
                <w:sz w:val="18"/>
                <w:szCs w:val="18"/>
              </w:rPr>
              <w:t>:</w:t>
            </w:r>
            <w:r>
              <w:rPr>
                <w:rFonts w:cstheme="minorHAnsi"/>
                <w:sz w:val="18"/>
                <w:szCs w:val="18"/>
              </w:rPr>
              <w:t xml:space="preserve"> </w:t>
            </w:r>
            <w:hyperlink r:id="rId7" w:history="1">
              <w:r>
                <w:rPr>
                  <w:rStyle w:val="Hyperlink"/>
                  <w:rFonts w:eastAsia="Calibri" w:cstheme="minorHAnsi"/>
                  <w:sz w:val="18"/>
                  <w:szCs w:val="18"/>
                </w:rPr>
                <w:t>http://mtc.gov.mk/</w:t>
              </w:r>
            </w:hyperlink>
            <w:r>
              <w:rPr>
                <w:rFonts w:eastAsia="Calibri" w:cstheme="minorHAnsi"/>
                <w:sz w:val="18"/>
                <w:szCs w:val="18"/>
                <w:lang w:val="mk-MK"/>
              </w:rPr>
              <w:t xml:space="preserve"> </w:t>
            </w:r>
          </w:p>
          <w:p w14:paraId="5E23F5DE" w14:textId="77777777" w:rsidR="007675B0" w:rsidRDefault="007675B0">
            <w:pPr>
              <w:shd w:val="clear" w:color="auto" w:fill="FFFFFF" w:themeFill="background1"/>
              <w:spacing w:after="0"/>
              <w:jc w:val="center"/>
              <w:rPr>
                <w:rFonts w:eastAsia="Calibri" w:cstheme="minorHAnsi"/>
                <w:b/>
                <w:sz w:val="18"/>
                <w:szCs w:val="18"/>
              </w:rPr>
            </w:pPr>
          </w:p>
        </w:tc>
      </w:tr>
      <w:tr w:rsidR="007675B0" w14:paraId="1D46FAE2" w14:textId="77777777">
        <w:trPr>
          <w:trHeight w:val="679"/>
          <w:jc w:val="center"/>
        </w:trPr>
        <w:tc>
          <w:tcPr>
            <w:tcW w:w="2578" w:type="dxa"/>
            <w:shd w:val="clear" w:color="auto" w:fill="F2F2F2"/>
          </w:tcPr>
          <w:p w14:paraId="1431A9EF" w14:textId="77777777" w:rsidR="007675B0" w:rsidRDefault="005C4AAF">
            <w:pPr>
              <w:spacing w:after="0"/>
              <w:rPr>
                <w:rFonts w:eastAsia="Calibri" w:cstheme="minorHAnsi"/>
                <w:b/>
                <w:sz w:val="18"/>
                <w:szCs w:val="18"/>
              </w:rPr>
            </w:pPr>
            <w:r w:rsidRPr="009E76C9">
              <w:rPr>
                <w:rFonts w:eastAsia="Calibri" w:cstheme="minorHAnsi"/>
                <w:b/>
                <w:sz w:val="18"/>
                <w:szCs w:val="18"/>
                <w:lang w:val="mk-MK"/>
              </w:rPr>
              <w:t>Име и презиме на лицето кое дава коментар</w:t>
            </w:r>
            <w:r>
              <w:rPr>
                <w:rFonts w:eastAsia="Calibri" w:cstheme="minorHAnsi"/>
                <w:b/>
                <w:sz w:val="18"/>
                <w:szCs w:val="18"/>
              </w:rPr>
              <w:t xml:space="preserve"> *</w:t>
            </w:r>
          </w:p>
          <w:p w14:paraId="5050EDB8" w14:textId="77777777" w:rsidR="007675B0" w:rsidRDefault="007675B0">
            <w:pPr>
              <w:spacing w:after="0"/>
              <w:rPr>
                <w:rFonts w:eastAsia="Calibri" w:cstheme="minorHAnsi"/>
                <w:sz w:val="18"/>
                <w:szCs w:val="18"/>
              </w:rPr>
            </w:pPr>
          </w:p>
        </w:tc>
        <w:tc>
          <w:tcPr>
            <w:tcW w:w="6439" w:type="dxa"/>
            <w:gridSpan w:val="2"/>
            <w:shd w:val="clear" w:color="auto" w:fill="F2F2F2"/>
          </w:tcPr>
          <w:p w14:paraId="4BBC9904" w14:textId="77777777" w:rsidR="007675B0" w:rsidRDefault="007675B0">
            <w:pPr>
              <w:spacing w:after="0"/>
              <w:rPr>
                <w:rFonts w:eastAsia="Calibri" w:cstheme="minorHAnsi"/>
                <w:sz w:val="18"/>
                <w:szCs w:val="18"/>
              </w:rPr>
            </w:pPr>
          </w:p>
        </w:tc>
      </w:tr>
      <w:tr w:rsidR="007675B0" w14:paraId="5A82F032" w14:textId="77777777">
        <w:trPr>
          <w:jc w:val="center"/>
        </w:trPr>
        <w:tc>
          <w:tcPr>
            <w:tcW w:w="2578" w:type="dxa"/>
            <w:shd w:val="clear" w:color="auto" w:fill="F2F2F2"/>
          </w:tcPr>
          <w:p w14:paraId="47136E11" w14:textId="77777777" w:rsidR="007675B0" w:rsidRPr="009E76C9" w:rsidRDefault="005C4AAF">
            <w:pPr>
              <w:spacing w:after="0"/>
              <w:rPr>
                <w:rFonts w:eastAsia="Calibri" w:cstheme="minorHAnsi"/>
                <w:b/>
                <w:sz w:val="18"/>
                <w:szCs w:val="18"/>
                <w:lang w:val="mk-MK"/>
              </w:rPr>
            </w:pPr>
            <w:r w:rsidRPr="009E76C9">
              <w:rPr>
                <w:rFonts w:eastAsia="Calibri" w:cstheme="minorHAnsi"/>
                <w:b/>
                <w:sz w:val="18"/>
                <w:szCs w:val="18"/>
                <w:lang w:val="mk-MK"/>
              </w:rPr>
              <w:t>Контакт информации*</w:t>
            </w:r>
          </w:p>
          <w:p w14:paraId="4F726455" w14:textId="77777777" w:rsidR="007675B0" w:rsidRDefault="007675B0">
            <w:pPr>
              <w:spacing w:after="0"/>
              <w:rPr>
                <w:rFonts w:eastAsia="Calibri" w:cstheme="minorHAnsi"/>
                <w:sz w:val="18"/>
                <w:szCs w:val="18"/>
              </w:rPr>
            </w:pPr>
          </w:p>
          <w:p w14:paraId="727FE8C4" w14:textId="77777777" w:rsidR="007675B0" w:rsidRDefault="007675B0">
            <w:pPr>
              <w:spacing w:after="0"/>
              <w:rPr>
                <w:rFonts w:eastAsia="Calibri" w:cstheme="minorHAnsi"/>
                <w:sz w:val="18"/>
                <w:szCs w:val="18"/>
              </w:rPr>
            </w:pPr>
          </w:p>
        </w:tc>
        <w:tc>
          <w:tcPr>
            <w:tcW w:w="6439" w:type="dxa"/>
            <w:gridSpan w:val="2"/>
            <w:shd w:val="clear" w:color="auto" w:fill="F2F2F2"/>
          </w:tcPr>
          <w:p w14:paraId="3011A9E1" w14:textId="77777777" w:rsidR="007675B0" w:rsidRDefault="005C4AAF">
            <w:pPr>
              <w:spacing w:after="0"/>
              <w:rPr>
                <w:rFonts w:eastAsia="Calibri" w:cstheme="minorHAnsi"/>
                <w:b/>
                <w:sz w:val="18"/>
                <w:szCs w:val="18"/>
              </w:rPr>
            </w:pPr>
            <w:r w:rsidRPr="009E76C9">
              <w:rPr>
                <w:rFonts w:eastAsia="Calibri" w:cstheme="minorHAnsi"/>
                <w:b/>
                <w:sz w:val="18"/>
                <w:szCs w:val="18"/>
                <w:lang w:val="mk-MK"/>
              </w:rPr>
              <w:t>Е-пошта</w:t>
            </w:r>
            <w:r>
              <w:rPr>
                <w:rFonts w:eastAsia="Calibri" w:cstheme="minorHAnsi"/>
                <w:b/>
                <w:sz w:val="18"/>
                <w:szCs w:val="18"/>
              </w:rPr>
              <w:t>:</w:t>
            </w:r>
          </w:p>
          <w:p w14:paraId="30AEEE30" w14:textId="77777777" w:rsidR="007675B0" w:rsidRDefault="005C4AAF">
            <w:pPr>
              <w:spacing w:after="0"/>
              <w:rPr>
                <w:rFonts w:eastAsia="Calibri" w:cstheme="minorHAnsi"/>
                <w:sz w:val="18"/>
                <w:szCs w:val="18"/>
              </w:rPr>
            </w:pPr>
            <w:r>
              <w:rPr>
                <w:rFonts w:eastAsia="Calibri" w:cstheme="minorHAnsi"/>
                <w:sz w:val="18"/>
                <w:szCs w:val="18"/>
              </w:rPr>
              <w:t xml:space="preserve">                     ______________________________</w:t>
            </w:r>
          </w:p>
          <w:p w14:paraId="41F46BEC" w14:textId="77777777" w:rsidR="007675B0" w:rsidRDefault="007675B0">
            <w:pPr>
              <w:spacing w:after="0"/>
              <w:rPr>
                <w:rFonts w:eastAsia="Calibri" w:cstheme="minorHAnsi"/>
                <w:b/>
                <w:sz w:val="18"/>
                <w:szCs w:val="18"/>
              </w:rPr>
            </w:pPr>
          </w:p>
          <w:p w14:paraId="58DD1752" w14:textId="77777777" w:rsidR="007675B0" w:rsidRDefault="005C4AAF">
            <w:pPr>
              <w:spacing w:after="0"/>
              <w:rPr>
                <w:rFonts w:eastAsia="Calibri" w:cstheme="minorHAnsi"/>
                <w:b/>
                <w:sz w:val="18"/>
                <w:szCs w:val="18"/>
              </w:rPr>
            </w:pPr>
            <w:r w:rsidRPr="009E76C9">
              <w:rPr>
                <w:rFonts w:eastAsia="Calibri" w:cstheme="minorHAnsi"/>
                <w:b/>
                <w:sz w:val="18"/>
                <w:szCs w:val="18"/>
                <w:lang w:val="mk-MK"/>
              </w:rPr>
              <w:t>тел</w:t>
            </w:r>
            <w:r>
              <w:rPr>
                <w:rFonts w:eastAsia="Calibri" w:cstheme="minorHAnsi"/>
                <w:b/>
                <w:sz w:val="18"/>
                <w:szCs w:val="18"/>
              </w:rPr>
              <w:t>:</w:t>
            </w:r>
          </w:p>
          <w:p w14:paraId="34D495C8" w14:textId="77777777" w:rsidR="007675B0" w:rsidRDefault="005C4AAF">
            <w:pPr>
              <w:spacing w:after="0"/>
              <w:rPr>
                <w:rFonts w:eastAsia="Calibri" w:cstheme="minorHAnsi"/>
                <w:sz w:val="18"/>
                <w:szCs w:val="18"/>
              </w:rPr>
            </w:pPr>
            <w:r>
              <w:rPr>
                <w:rFonts w:eastAsia="Calibri" w:cstheme="minorHAnsi"/>
                <w:sz w:val="18"/>
                <w:szCs w:val="18"/>
              </w:rPr>
              <w:t xml:space="preserve">                      ______________________________</w:t>
            </w:r>
          </w:p>
        </w:tc>
      </w:tr>
      <w:tr w:rsidR="007675B0" w14:paraId="0F6D8F97" w14:textId="77777777">
        <w:trPr>
          <w:trHeight w:val="1120"/>
          <w:jc w:val="center"/>
        </w:trPr>
        <w:tc>
          <w:tcPr>
            <w:tcW w:w="9017" w:type="dxa"/>
            <w:gridSpan w:val="3"/>
            <w:shd w:val="clear" w:color="auto" w:fill="F2F2F2"/>
          </w:tcPr>
          <w:p w14:paraId="6C45A67F" w14:textId="77777777" w:rsidR="007675B0" w:rsidRPr="009E76C9" w:rsidRDefault="005C4AAF">
            <w:pPr>
              <w:spacing w:after="0"/>
              <w:rPr>
                <w:rFonts w:eastAsia="Calibri" w:cstheme="minorHAnsi"/>
                <w:b/>
                <w:color w:val="000000"/>
                <w:sz w:val="18"/>
                <w:szCs w:val="18"/>
                <w:lang w:val="mk-MK"/>
              </w:rPr>
            </w:pPr>
            <w:r w:rsidRPr="009E76C9">
              <w:rPr>
                <w:rFonts w:eastAsia="Calibri" w:cstheme="minorHAnsi"/>
                <w:b/>
                <w:sz w:val="18"/>
                <w:szCs w:val="18"/>
                <w:lang w:val="mk-MK"/>
              </w:rPr>
              <w:t>Коментари во врска со Контролната листа на ПУЖССА</w:t>
            </w:r>
            <w:r w:rsidRPr="009E76C9">
              <w:rPr>
                <w:rFonts w:eastAsia="Calibri" w:cstheme="minorHAnsi"/>
                <w:b/>
                <w:color w:val="000000"/>
                <w:sz w:val="18"/>
                <w:szCs w:val="18"/>
                <w:lang w:val="mk-MK"/>
              </w:rPr>
              <w:t>:</w:t>
            </w:r>
          </w:p>
          <w:p w14:paraId="47114B66" w14:textId="77777777" w:rsidR="007675B0" w:rsidRPr="009E76C9" w:rsidRDefault="007675B0">
            <w:pPr>
              <w:spacing w:after="0"/>
              <w:rPr>
                <w:rFonts w:eastAsia="Calibri" w:cstheme="minorHAnsi"/>
                <w:color w:val="000000"/>
                <w:sz w:val="18"/>
                <w:szCs w:val="18"/>
                <w:lang w:val="mk-MK"/>
              </w:rPr>
            </w:pPr>
          </w:p>
          <w:p w14:paraId="7D866C3B" w14:textId="77777777" w:rsidR="007675B0" w:rsidRPr="009E76C9" w:rsidRDefault="007675B0">
            <w:pPr>
              <w:spacing w:after="0"/>
              <w:rPr>
                <w:rFonts w:eastAsia="Calibri" w:cstheme="minorHAnsi"/>
                <w:color w:val="000000"/>
                <w:sz w:val="18"/>
                <w:szCs w:val="18"/>
                <w:lang w:val="mk-MK"/>
              </w:rPr>
            </w:pPr>
          </w:p>
          <w:p w14:paraId="28F30E05" w14:textId="77777777" w:rsidR="007675B0" w:rsidRPr="009E76C9" w:rsidRDefault="007675B0">
            <w:pPr>
              <w:spacing w:after="0"/>
              <w:rPr>
                <w:rFonts w:eastAsia="Calibri" w:cstheme="minorHAnsi"/>
                <w:color w:val="000000"/>
                <w:sz w:val="18"/>
                <w:szCs w:val="18"/>
                <w:lang w:val="mk-MK"/>
              </w:rPr>
            </w:pPr>
          </w:p>
        </w:tc>
      </w:tr>
      <w:tr w:rsidR="007675B0" w14:paraId="3B902A78" w14:textId="77777777">
        <w:trPr>
          <w:trHeight w:val="912"/>
          <w:jc w:val="center"/>
        </w:trPr>
        <w:tc>
          <w:tcPr>
            <w:tcW w:w="4384" w:type="dxa"/>
            <w:gridSpan w:val="2"/>
            <w:shd w:val="clear" w:color="auto" w:fill="F2F2F2"/>
          </w:tcPr>
          <w:p w14:paraId="792A490D" w14:textId="77777777" w:rsidR="007675B0" w:rsidRPr="009E76C9" w:rsidRDefault="005C4AAF">
            <w:pPr>
              <w:spacing w:after="0"/>
              <w:rPr>
                <w:rFonts w:eastAsia="Calibri" w:cstheme="minorHAnsi"/>
                <w:b/>
                <w:sz w:val="18"/>
                <w:szCs w:val="18"/>
                <w:lang w:val="mk-MK"/>
              </w:rPr>
            </w:pPr>
            <w:r w:rsidRPr="009E76C9">
              <w:rPr>
                <w:rFonts w:eastAsia="Calibri" w:cstheme="minorHAnsi"/>
                <w:b/>
                <w:sz w:val="18"/>
                <w:szCs w:val="18"/>
                <w:lang w:val="mk-MK"/>
              </w:rPr>
              <w:t>Потпис</w:t>
            </w:r>
          </w:p>
          <w:p w14:paraId="66417693" w14:textId="77777777" w:rsidR="007675B0" w:rsidRPr="009E76C9" w:rsidRDefault="007675B0">
            <w:pPr>
              <w:spacing w:after="0"/>
              <w:rPr>
                <w:rFonts w:eastAsia="Calibri" w:cstheme="minorHAnsi"/>
                <w:sz w:val="18"/>
                <w:szCs w:val="18"/>
                <w:lang w:val="mk-MK"/>
              </w:rPr>
            </w:pPr>
          </w:p>
          <w:p w14:paraId="786ED32B" w14:textId="77777777" w:rsidR="007675B0" w:rsidRPr="009E76C9" w:rsidRDefault="005C4AAF">
            <w:pPr>
              <w:spacing w:after="0"/>
              <w:rPr>
                <w:rFonts w:eastAsia="Calibri" w:cstheme="minorHAnsi"/>
                <w:sz w:val="18"/>
                <w:szCs w:val="18"/>
                <w:lang w:val="mk-MK"/>
              </w:rPr>
            </w:pPr>
            <w:r w:rsidRPr="009E76C9">
              <w:rPr>
                <w:rFonts w:eastAsia="Calibri" w:cstheme="minorHAnsi"/>
                <w:sz w:val="18"/>
                <w:szCs w:val="18"/>
                <w:lang w:val="mk-MK"/>
              </w:rPr>
              <w:t>______________________</w:t>
            </w:r>
          </w:p>
        </w:tc>
        <w:tc>
          <w:tcPr>
            <w:tcW w:w="4633" w:type="dxa"/>
            <w:shd w:val="clear" w:color="auto" w:fill="F2F2F2"/>
          </w:tcPr>
          <w:p w14:paraId="4EA81CCB" w14:textId="77777777" w:rsidR="007675B0" w:rsidRPr="009E76C9" w:rsidRDefault="005C4AAF">
            <w:pPr>
              <w:spacing w:after="0"/>
              <w:rPr>
                <w:rFonts w:eastAsia="Calibri" w:cstheme="minorHAnsi"/>
                <w:b/>
                <w:sz w:val="18"/>
                <w:szCs w:val="18"/>
                <w:lang w:val="mk-MK"/>
              </w:rPr>
            </w:pPr>
            <w:r w:rsidRPr="009E76C9">
              <w:rPr>
                <w:rFonts w:eastAsia="Calibri" w:cstheme="minorHAnsi"/>
                <w:b/>
                <w:sz w:val="18"/>
                <w:szCs w:val="18"/>
                <w:lang w:val="mk-MK"/>
              </w:rPr>
              <w:t>Дата</w:t>
            </w:r>
          </w:p>
          <w:p w14:paraId="22658179" w14:textId="77777777" w:rsidR="007675B0" w:rsidRPr="009E76C9" w:rsidRDefault="007675B0">
            <w:pPr>
              <w:spacing w:after="0"/>
              <w:rPr>
                <w:rFonts w:eastAsia="Calibri" w:cstheme="minorHAnsi"/>
                <w:sz w:val="18"/>
                <w:szCs w:val="18"/>
                <w:lang w:val="mk-MK"/>
              </w:rPr>
            </w:pPr>
          </w:p>
          <w:p w14:paraId="2B24BDC0" w14:textId="77777777" w:rsidR="007675B0" w:rsidRPr="009E76C9" w:rsidRDefault="005C4AAF">
            <w:pPr>
              <w:spacing w:after="0"/>
              <w:rPr>
                <w:rFonts w:eastAsia="Calibri" w:cstheme="minorHAnsi"/>
                <w:sz w:val="18"/>
                <w:szCs w:val="18"/>
                <w:lang w:val="mk-MK"/>
              </w:rPr>
            </w:pPr>
            <w:r w:rsidRPr="009E76C9">
              <w:rPr>
                <w:rFonts w:eastAsia="Calibri" w:cstheme="minorHAnsi"/>
                <w:sz w:val="18"/>
                <w:szCs w:val="18"/>
                <w:lang w:val="mk-MK"/>
              </w:rPr>
              <w:t>____________________</w:t>
            </w:r>
          </w:p>
        </w:tc>
      </w:tr>
      <w:tr w:rsidR="007675B0" w14:paraId="7C5875AB" w14:textId="77777777">
        <w:trPr>
          <w:trHeight w:val="912"/>
          <w:jc w:val="center"/>
        </w:trPr>
        <w:tc>
          <w:tcPr>
            <w:tcW w:w="9017" w:type="dxa"/>
            <w:gridSpan w:val="3"/>
            <w:shd w:val="clear" w:color="auto" w:fill="F2F2F2"/>
          </w:tcPr>
          <w:p w14:paraId="1FF61881" w14:textId="3B182FDC" w:rsidR="006072FB" w:rsidRPr="00743DE6" w:rsidRDefault="006072FB" w:rsidP="006072FB">
            <w:pPr>
              <w:shd w:val="clear" w:color="auto" w:fill="E2EFD9" w:themeFill="accent6" w:themeFillTint="33"/>
              <w:spacing w:after="0"/>
              <w:rPr>
                <w:rFonts w:eastAsia="Calibri" w:cstheme="minorHAnsi"/>
                <w:b/>
                <w:sz w:val="18"/>
                <w:szCs w:val="18"/>
                <w:lang w:val="mk-MK"/>
              </w:rPr>
            </w:pPr>
            <w:r w:rsidRPr="00743DE6">
              <w:rPr>
                <w:rFonts w:eastAsia="Calibri" w:cstheme="minorHAnsi"/>
                <w:b/>
                <w:sz w:val="18"/>
                <w:szCs w:val="18"/>
                <w:lang w:val="mk-MK"/>
              </w:rPr>
              <w:t xml:space="preserve">Ако имате какви било коментари / предлози или дополнувања за предложените мерки на </w:t>
            </w:r>
            <w:r w:rsidR="008A2688" w:rsidRPr="008A2688">
              <w:rPr>
                <w:rFonts w:eastAsia="Calibri" w:cstheme="minorHAnsi"/>
                <w:b/>
                <w:sz w:val="18"/>
                <w:szCs w:val="18"/>
                <w:lang w:val="mk-MK"/>
              </w:rPr>
              <w:t>Контролната листа на ПУЖССА за Реконструкција на крстосницата помеѓу локалните улици „5ти Конгрес,“ и „Браќа Даневи“ , “Солидарност “во Oпштина Штип</w:t>
            </w:r>
            <w:r w:rsidRPr="00743DE6">
              <w:rPr>
                <w:rFonts w:eastAsia="Calibri" w:cstheme="minorHAnsi"/>
                <w:b/>
                <w:sz w:val="18"/>
                <w:szCs w:val="18"/>
                <w:lang w:val="mk-MK"/>
              </w:rPr>
              <w:t>, ве молиме доставете ги на одговорното лице од следната институција:</w:t>
            </w:r>
          </w:p>
          <w:p w14:paraId="3F16DAA4" w14:textId="77777777" w:rsidR="006072FB" w:rsidRPr="00743DE6" w:rsidRDefault="006072FB" w:rsidP="006072FB">
            <w:pPr>
              <w:shd w:val="clear" w:color="auto" w:fill="E2EFD9" w:themeFill="accent6" w:themeFillTint="33"/>
              <w:spacing w:after="0"/>
              <w:rPr>
                <w:rFonts w:eastAsia="Calibri" w:cstheme="minorHAnsi"/>
                <w:b/>
                <w:sz w:val="18"/>
                <w:szCs w:val="18"/>
                <w:lang w:val="mk-MK"/>
              </w:rPr>
            </w:pPr>
          </w:p>
          <w:p w14:paraId="6ACE8DE2" w14:textId="374DA236" w:rsidR="006072FB" w:rsidRPr="00D06150" w:rsidRDefault="006072FB" w:rsidP="006072FB">
            <w:pPr>
              <w:shd w:val="clear" w:color="auto" w:fill="E2EFD9" w:themeFill="accent6" w:themeFillTint="33"/>
              <w:spacing w:after="0"/>
              <w:rPr>
                <w:rFonts w:eastAsia="Calibri" w:cstheme="minorHAnsi"/>
                <w:b/>
                <w:sz w:val="18"/>
                <w:szCs w:val="18"/>
              </w:rPr>
            </w:pPr>
            <w:r w:rsidRPr="00743DE6">
              <w:rPr>
                <w:rFonts w:eastAsia="Calibri" w:cstheme="minorHAnsi"/>
                <w:b/>
                <w:sz w:val="18"/>
                <w:szCs w:val="18"/>
                <w:lang w:val="mk-MK"/>
              </w:rPr>
              <w:t xml:space="preserve">Контакт лице: </w:t>
            </w:r>
            <w:proofErr w:type="spellStart"/>
            <w:r w:rsidR="00D06150">
              <w:rPr>
                <w:rFonts w:eastAsia="Calibri" w:cstheme="minorHAnsi"/>
                <w:b/>
                <w:sz w:val="18"/>
                <w:szCs w:val="18"/>
              </w:rPr>
              <w:t>Сашка</w:t>
            </w:r>
            <w:proofErr w:type="spellEnd"/>
            <w:r w:rsidR="00D06150">
              <w:rPr>
                <w:rFonts w:eastAsia="Calibri" w:cstheme="minorHAnsi"/>
                <w:b/>
                <w:sz w:val="18"/>
                <w:szCs w:val="18"/>
              </w:rPr>
              <w:t xml:space="preserve"> </w:t>
            </w:r>
            <w:proofErr w:type="spellStart"/>
            <w:r w:rsidR="00D06150">
              <w:rPr>
                <w:rFonts w:eastAsia="Calibri" w:cstheme="minorHAnsi"/>
                <w:b/>
                <w:sz w:val="18"/>
                <w:szCs w:val="18"/>
              </w:rPr>
              <w:t>Богданова</w:t>
            </w:r>
            <w:proofErr w:type="spellEnd"/>
            <w:r w:rsidR="00D06150">
              <w:rPr>
                <w:rFonts w:eastAsia="Calibri" w:cstheme="minorHAnsi"/>
                <w:b/>
                <w:sz w:val="18"/>
                <w:szCs w:val="18"/>
              </w:rPr>
              <w:t xml:space="preserve"> </w:t>
            </w:r>
            <w:proofErr w:type="spellStart"/>
            <w:r w:rsidR="00D06150">
              <w:rPr>
                <w:rFonts w:eastAsia="Calibri" w:cstheme="minorHAnsi"/>
                <w:b/>
                <w:sz w:val="18"/>
                <w:szCs w:val="18"/>
              </w:rPr>
              <w:t>Ајцева</w:t>
            </w:r>
            <w:proofErr w:type="spellEnd"/>
          </w:p>
          <w:p w14:paraId="1125FBCF" w14:textId="0615DC21" w:rsidR="006072FB" w:rsidRPr="00743DE6" w:rsidRDefault="006072FB" w:rsidP="006072FB">
            <w:pPr>
              <w:shd w:val="clear" w:color="auto" w:fill="E2EFD9" w:themeFill="accent6" w:themeFillTint="33"/>
              <w:spacing w:after="0"/>
              <w:rPr>
                <w:rFonts w:eastAsia="Calibri" w:cstheme="minorHAnsi"/>
                <w:b/>
                <w:sz w:val="18"/>
                <w:szCs w:val="18"/>
                <w:lang w:val="mk-MK"/>
              </w:rPr>
            </w:pPr>
            <w:r w:rsidRPr="00743DE6">
              <w:rPr>
                <w:rFonts w:eastAsia="Calibri" w:cstheme="minorHAnsi"/>
                <w:b/>
                <w:sz w:val="18"/>
                <w:szCs w:val="18"/>
                <w:lang w:val="mk-MK"/>
              </w:rPr>
              <w:t xml:space="preserve">Е-пошта: </w:t>
            </w:r>
            <w:hyperlink r:id="rId8" w:history="1">
              <w:r w:rsidR="00D06150" w:rsidRPr="00D06150">
                <w:rPr>
                  <w:rStyle w:val="Hyperlink"/>
                  <w:b/>
                  <w:bCs/>
                  <w:sz w:val="18"/>
                  <w:szCs w:val="18"/>
                </w:rPr>
                <w:t>saska.bogdanova.ajceva</w:t>
              </w:r>
              <w:r w:rsidR="00D06150" w:rsidRPr="00D06150">
                <w:rPr>
                  <w:rStyle w:val="Hyperlink"/>
                  <w:rFonts w:eastAsia="Calibri" w:cstheme="minorHAnsi"/>
                  <w:b/>
                  <w:bCs/>
                  <w:sz w:val="18"/>
                  <w:szCs w:val="18"/>
                  <w:lang w:val="mk-MK"/>
                </w:rPr>
                <w:t>.piu@mtc.gov.mk</w:t>
              </w:r>
            </w:hyperlink>
            <w:r w:rsidRPr="00743DE6">
              <w:rPr>
                <w:rFonts w:eastAsia="Calibri" w:cstheme="minorHAnsi"/>
                <w:b/>
                <w:sz w:val="18"/>
                <w:szCs w:val="18"/>
                <w:lang w:val="mk-MK"/>
              </w:rPr>
              <w:t xml:space="preserve"> </w:t>
            </w:r>
          </w:p>
          <w:p w14:paraId="7939EC78" w14:textId="77777777" w:rsidR="006072FB" w:rsidRPr="00743DE6" w:rsidRDefault="006072FB" w:rsidP="006072FB">
            <w:pPr>
              <w:shd w:val="clear" w:color="auto" w:fill="E2EFD9" w:themeFill="accent6" w:themeFillTint="33"/>
              <w:spacing w:after="0"/>
              <w:rPr>
                <w:rFonts w:eastAsia="Calibri" w:cstheme="minorHAnsi"/>
                <w:b/>
                <w:sz w:val="18"/>
                <w:szCs w:val="18"/>
                <w:lang w:val="mk-MK"/>
              </w:rPr>
            </w:pPr>
          </w:p>
          <w:p w14:paraId="1B0E8519" w14:textId="77777777" w:rsidR="008A2688" w:rsidRDefault="006072FB" w:rsidP="006072FB">
            <w:pPr>
              <w:shd w:val="clear" w:color="auto" w:fill="E2EFD9" w:themeFill="accent6" w:themeFillTint="33"/>
              <w:spacing w:after="0"/>
              <w:rPr>
                <w:rFonts w:eastAsia="Calibri" w:cstheme="minorHAnsi"/>
                <w:b/>
                <w:sz w:val="18"/>
                <w:szCs w:val="18"/>
                <w:lang w:val="mk-MK"/>
              </w:rPr>
            </w:pPr>
            <w:r w:rsidRPr="00743DE6">
              <w:rPr>
                <w:rFonts w:eastAsia="Calibri" w:cstheme="minorHAnsi"/>
                <w:b/>
                <w:sz w:val="18"/>
                <w:szCs w:val="18"/>
                <w:lang w:val="mk-MK"/>
              </w:rPr>
              <w:t xml:space="preserve">Во рок од 14 дена по објавувањето на </w:t>
            </w:r>
            <w:r w:rsidR="008A2688" w:rsidRPr="008A2688">
              <w:rPr>
                <w:rFonts w:eastAsia="Calibri" w:cstheme="minorHAnsi"/>
                <w:b/>
                <w:sz w:val="18"/>
                <w:szCs w:val="18"/>
                <w:lang w:val="mk-MK"/>
              </w:rPr>
              <w:t>Контролната листа на ПУЖССА за Реконструкција на крстосницата помеѓу локалните улици „5ти Конгрес,“ и „Браќа Даневи“ , “Солидарност “во Oпштина Штип</w:t>
            </w:r>
            <w:r w:rsidR="008A2688" w:rsidRPr="008A2688">
              <w:rPr>
                <w:rFonts w:eastAsia="Calibri" w:cstheme="minorHAnsi"/>
                <w:b/>
                <w:sz w:val="18"/>
                <w:szCs w:val="18"/>
                <w:lang w:val="mk-MK"/>
              </w:rPr>
              <w:t xml:space="preserve"> </w:t>
            </w:r>
          </w:p>
          <w:p w14:paraId="4677C8A0" w14:textId="691D107D" w:rsidR="007675B0" w:rsidRDefault="006072FB" w:rsidP="006072FB">
            <w:pPr>
              <w:shd w:val="clear" w:color="auto" w:fill="E2EFD9" w:themeFill="accent6" w:themeFillTint="33"/>
              <w:spacing w:after="0"/>
              <w:rPr>
                <w:rFonts w:eastAsia="Calibri" w:cstheme="minorHAnsi"/>
                <w:b/>
                <w:sz w:val="18"/>
                <w:szCs w:val="18"/>
                <w:lang w:val="mk-MK"/>
              </w:rPr>
            </w:pPr>
            <w:r w:rsidRPr="00743DE6">
              <w:rPr>
                <w:rFonts w:eastAsia="Calibri" w:cstheme="minorHAnsi"/>
                <w:b/>
                <w:sz w:val="18"/>
                <w:szCs w:val="18"/>
                <w:lang w:val="mk-MK"/>
              </w:rPr>
              <w:t>(датум на објава: ……. )</w:t>
            </w:r>
          </w:p>
        </w:tc>
      </w:tr>
      <w:tr w:rsidR="007675B0" w14:paraId="344288AE" w14:textId="77777777">
        <w:trPr>
          <w:trHeight w:val="912"/>
          <w:jc w:val="center"/>
        </w:trPr>
        <w:tc>
          <w:tcPr>
            <w:tcW w:w="9017" w:type="dxa"/>
            <w:gridSpan w:val="3"/>
            <w:shd w:val="clear" w:color="auto" w:fill="F2F2F2"/>
          </w:tcPr>
          <w:p w14:paraId="68A70F43" w14:textId="77777777" w:rsidR="007675B0" w:rsidRDefault="005C4AAF">
            <w:pPr>
              <w:shd w:val="clear" w:color="auto" w:fill="E2EFD9" w:themeFill="accent6" w:themeFillTint="33"/>
              <w:spacing w:after="0"/>
              <w:rPr>
                <w:rFonts w:eastAsia="Calibri" w:cstheme="minorHAnsi"/>
                <w:b/>
                <w:sz w:val="18"/>
                <w:szCs w:val="18"/>
                <w:lang w:val="mk-MK"/>
              </w:rPr>
            </w:pPr>
            <w:r>
              <w:rPr>
                <w:rFonts w:eastAsia="Calibri" w:cstheme="minorHAnsi"/>
                <w:b/>
                <w:sz w:val="18"/>
                <w:szCs w:val="18"/>
                <w:lang w:val="mk-MK"/>
              </w:rPr>
              <w:lastRenderedPageBreak/>
              <w:t>Референтен број: ______________________________</w:t>
            </w:r>
          </w:p>
          <w:p w14:paraId="6C017E24" w14:textId="77777777" w:rsidR="007675B0" w:rsidRDefault="007675B0">
            <w:pPr>
              <w:shd w:val="clear" w:color="auto" w:fill="E2EFD9" w:themeFill="accent6" w:themeFillTint="33"/>
              <w:spacing w:after="0"/>
              <w:rPr>
                <w:rFonts w:eastAsia="Calibri" w:cstheme="minorHAnsi"/>
                <w:b/>
                <w:sz w:val="18"/>
                <w:szCs w:val="18"/>
                <w:lang w:val="mk-MK"/>
              </w:rPr>
            </w:pPr>
          </w:p>
          <w:p w14:paraId="10510E23" w14:textId="77777777" w:rsidR="007675B0" w:rsidRDefault="005C4AAF">
            <w:pPr>
              <w:shd w:val="clear" w:color="auto" w:fill="E2EFD9" w:themeFill="accent6" w:themeFillTint="33"/>
              <w:spacing w:after="0"/>
              <w:jc w:val="center"/>
              <w:rPr>
                <w:rFonts w:eastAsia="Calibri" w:cstheme="minorHAnsi"/>
                <w:b/>
                <w:sz w:val="18"/>
                <w:szCs w:val="18"/>
                <w:lang w:val="mk-MK"/>
              </w:rPr>
            </w:pPr>
            <w:r>
              <w:rPr>
                <w:rFonts w:eastAsia="Calibri" w:cstheme="minorHAnsi"/>
                <w:b/>
                <w:sz w:val="18"/>
                <w:szCs w:val="18"/>
                <w:lang w:val="mk-MK"/>
              </w:rPr>
              <w:t xml:space="preserve">(пополнето од страна одговорните лица за спроведување на проектот) </w:t>
            </w:r>
          </w:p>
          <w:p w14:paraId="10980D4A" w14:textId="77777777" w:rsidR="007675B0" w:rsidRDefault="007675B0">
            <w:pPr>
              <w:shd w:val="clear" w:color="auto" w:fill="E2EFD9" w:themeFill="accent6" w:themeFillTint="33"/>
              <w:spacing w:after="0"/>
              <w:jc w:val="center"/>
              <w:rPr>
                <w:rFonts w:eastAsia="Calibri" w:cstheme="minorHAnsi"/>
                <w:b/>
                <w:sz w:val="18"/>
                <w:szCs w:val="18"/>
                <w:lang w:val="mk-MK"/>
              </w:rPr>
            </w:pPr>
          </w:p>
        </w:tc>
      </w:tr>
    </w:tbl>
    <w:p w14:paraId="778248E9" w14:textId="77777777" w:rsidR="007675B0" w:rsidRDefault="005C4AAF">
      <w:pPr>
        <w:rPr>
          <w:rFonts w:cstheme="minorHAnsi"/>
          <w:sz w:val="20"/>
          <w:szCs w:val="20"/>
          <w:lang w:val="mk-MK"/>
        </w:rPr>
      </w:pPr>
      <w:r>
        <w:rPr>
          <w:rFonts w:eastAsia="Times New Roman" w:cstheme="minorHAnsi"/>
          <w:sz w:val="14"/>
          <w:szCs w:val="12"/>
          <w:lang w:val="mk-MK"/>
        </w:rPr>
        <w:t>* Пополнување на полињата со лични податоци не е задолжително</w:t>
      </w:r>
    </w:p>
    <w:sectPr w:rsidR="007675B0">
      <w:pgSz w:w="11907"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17"/>
    <w:rsid w:val="00147755"/>
    <w:rsid w:val="001C52FA"/>
    <w:rsid w:val="00420BC4"/>
    <w:rsid w:val="00456BAF"/>
    <w:rsid w:val="004E39BF"/>
    <w:rsid w:val="005761D8"/>
    <w:rsid w:val="005C4AAF"/>
    <w:rsid w:val="006072FB"/>
    <w:rsid w:val="007675B0"/>
    <w:rsid w:val="007E4945"/>
    <w:rsid w:val="008A2688"/>
    <w:rsid w:val="009E76C9"/>
    <w:rsid w:val="00B43B3D"/>
    <w:rsid w:val="00CC5C17"/>
    <w:rsid w:val="00D06150"/>
    <w:rsid w:val="00EC31BF"/>
    <w:rsid w:val="00F6384E"/>
    <w:rsid w:val="00F929FC"/>
    <w:rsid w:val="5EDF31A3"/>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EACB"/>
  <w15:docId w15:val="{CDE8BE2B-878E-40AB-8894-794A2853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line="276"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customStyle="1" w:styleId="tlid-translation">
    <w:name w:val="tlid-translation"/>
    <w:basedOn w:val="DefaultParagraphFont"/>
  </w:style>
  <w:style w:type="character" w:customStyle="1" w:styleId="HTMLPreformattedChar">
    <w:name w:val="HTML Preformatted Char"/>
    <w:basedOn w:val="DefaultParagraphFont"/>
    <w:link w:val="HTMLPreformatted"/>
    <w:uiPriority w:val="99"/>
    <w:rsid w:val="006072FB"/>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D06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aska.bogdanova.ajceva.piu@mtc.gov.mk" TargetMode="External"/><Relationship Id="rId3" Type="http://schemas.openxmlformats.org/officeDocument/2006/relationships/numbering" Target="numbering.xml"/><Relationship Id="rId7" Type="http://schemas.openxmlformats.org/officeDocument/2006/relationships/hyperlink" Target="http://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922E6B-47A8-4756-B480-94B6ADFB90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Velkovski</dc:creator>
  <cp:lastModifiedBy>User</cp:lastModifiedBy>
  <cp:revision>4</cp:revision>
  <dcterms:created xsi:type="dcterms:W3CDTF">2021-02-27T18:31:00Z</dcterms:created>
  <dcterms:modified xsi:type="dcterms:W3CDTF">2021-03-05T09:23:00Z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